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97174"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5337A9" w:rsidRDefault="00F067C8" w:rsidP="00F067C8">
      <w:pPr>
        <w:tabs>
          <w:tab w:val="left" w:leader="underscore" w:pos="9639"/>
        </w:tabs>
        <w:spacing w:after="0" w:line="240" w:lineRule="auto"/>
        <w:jc w:val="center"/>
        <w:rPr>
          <w:rFonts w:cs="Calibri"/>
          <w:color w:val="FFFFFF" w:themeColor="background1"/>
        </w:rPr>
      </w:pPr>
      <w:r w:rsidRPr="005337A9">
        <w:rPr>
          <w:rFonts w:cs="Calibri"/>
          <w:color w:val="FFFFFF" w:themeColor="background1"/>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99717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223E428" w14:textId="77777777" w:rsidR="00684909" w:rsidRPr="001A0994" w:rsidRDefault="00684909" w:rsidP="00684909">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7FFC72" w14:textId="77777777" w:rsidR="00684909" w:rsidRPr="00BC5342" w:rsidRDefault="00684909" w:rsidP="00684909">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0C046B12" w14:textId="77777777" w:rsidR="00684909" w:rsidRPr="00BC5342" w:rsidRDefault="00684909" w:rsidP="00684909">
      <w:pPr>
        <w:spacing w:after="0" w:line="240" w:lineRule="auto"/>
        <w:jc w:val="both"/>
        <w:rPr>
          <w:rFonts w:cs="Calibri"/>
        </w:rPr>
      </w:pPr>
    </w:p>
    <w:p w14:paraId="208C5A39" w14:textId="77777777" w:rsidR="00684909" w:rsidRPr="00BC5342" w:rsidRDefault="00684909" w:rsidP="00684909">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436DF787" w14:textId="77777777" w:rsidR="00684909" w:rsidRPr="00BC5342" w:rsidRDefault="00684909" w:rsidP="00684909">
      <w:pPr>
        <w:spacing w:after="0" w:line="240" w:lineRule="auto"/>
        <w:jc w:val="both"/>
        <w:rPr>
          <w:rFonts w:cs="Calibri"/>
        </w:rPr>
      </w:pPr>
    </w:p>
    <w:p w14:paraId="6CBDC012" w14:textId="77777777" w:rsidR="00684909" w:rsidRPr="00BC5342" w:rsidRDefault="00684909" w:rsidP="00684909">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467E5E10" w14:textId="77777777" w:rsidR="00684909" w:rsidRPr="00BC5342" w:rsidRDefault="00684909" w:rsidP="00684909">
      <w:pPr>
        <w:spacing w:after="0" w:line="240" w:lineRule="auto"/>
        <w:jc w:val="both"/>
        <w:rPr>
          <w:rFonts w:cs="Calibri"/>
        </w:rPr>
      </w:pPr>
    </w:p>
    <w:p w14:paraId="78EB5876" w14:textId="77777777" w:rsidR="00684909" w:rsidRPr="00BC5342" w:rsidRDefault="00684909" w:rsidP="00684909">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EE8DD6F" w14:textId="54F9D0B0" w:rsidR="00B30FC3" w:rsidRDefault="00B30FC3" w:rsidP="00B30FC3">
      <w:pPr>
        <w:tabs>
          <w:tab w:val="left" w:leader="underscore" w:pos="9639"/>
        </w:tabs>
        <w:spacing w:after="0" w:line="240" w:lineRule="auto"/>
        <w:jc w:val="both"/>
        <w:rPr>
          <w:rFonts w:cs="Calibri"/>
        </w:rPr>
      </w:pPr>
    </w:p>
    <w:p w14:paraId="1D21F93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Exposición General de Motivos</w:t>
      </w:r>
    </w:p>
    <w:p w14:paraId="3B63575A" w14:textId="77777777" w:rsidR="00CA52D8" w:rsidRPr="00CA52D8" w:rsidRDefault="00CA52D8" w:rsidP="00CA52D8">
      <w:pPr>
        <w:tabs>
          <w:tab w:val="left" w:leader="underscore" w:pos="9639"/>
        </w:tabs>
        <w:spacing w:after="0" w:line="240" w:lineRule="auto"/>
        <w:jc w:val="both"/>
        <w:rPr>
          <w:rFonts w:cs="Calibri"/>
        </w:rPr>
      </w:pPr>
    </w:p>
    <w:p w14:paraId="6D1AE86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cubrir las demandas de servicios de los ciudadanos en cuanto al suministro de agua potable, alcantarillado y tratamiento, SMAPAM debe  tener en funcionamiento una infraestructura hidráulica y sanitaria compuesta por  fuentes de abastecimiento y redes de conducción y distribución con una gasto económico significativo de recursos humanos y materiales, así como los cargos de energía eléctrica usada primordialmente en las actividades de operación para la extracción, siendo necesario mantener anualmente un desarrollo en las tarifas que nos permita lograr los niveles de recaudación que garanticen el gasto corriente y el gasto de inversión que el organismo necesita para seguir atendiendo en forma eficiente a la población del municipio.</w:t>
      </w:r>
    </w:p>
    <w:p w14:paraId="3C52363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incrementos en los precios directos durante el último año nos representan un total del 8.27%, conforme al cálculo realizado mediante el uso de la metodología de impactos ponderados y que estos incrementos son reales y no son sustituibles debido a que los insumos a que se refieren son la parte medular de nuestro sistema operativo.</w:t>
      </w:r>
    </w:p>
    <w:p w14:paraId="38F6DFC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efectos reales de incremento a precios por servicios e insumos que se realizan en la operación de la infraestructura no forman parte de los elementos que integran la canasta básica y por ello es por lo que nos enfrentamos a un impacto inflacionario mayor al INPC.</w:t>
      </w:r>
    </w:p>
    <w:p w14:paraId="71F3C289"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Dicha aseveración queda probada mediante el cálculo presentado en el que se observan los impactos reales de un ejercicio fiscal, hecho que debe tomarse en cuenta porque es justamente el periodo en que se realizan los trabajos de elaboración de propuestas y para efecto de cálculo debe tomarse el referente de un año completo.</w:t>
      </w:r>
    </w:p>
    <w:p w14:paraId="2F7AFB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esa proporción se han afectado los insumos que requerimos dentro de nuestros procesos administrativos y comerciales y que además los costos operativos y de materiales para propósitos de mantenimiento y operación han tenido un impacto mayor a de la inflación anual dado que se trata de materiales a base de aceros, metales y componentes que no están de ninguna manera considerados dentro de la canasta básica, como tampoco lo están combustibles, lubricantes y equipo de bombeo, así como piezas de fierro fundido y materiales especiales entre otros que son de uso común para nosotros, los cuales han tenido incrementos superiores al INPC.</w:t>
      </w:r>
    </w:p>
    <w:p w14:paraId="1C104A5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Tratando de continuar dando un servicio de calidad para los ciudadanos de Moroleón, es intención de este organismo operador no generar incrementos considerables, aun cuando las condiciones económicas de operación los justifican.</w:t>
      </w:r>
    </w:p>
    <w:p w14:paraId="38003BA7"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 operación de los servicios para atender los requerimientos de la población en el año 2024 demandará un fuerte gasto económico por lo que estaremos haciendo esfuerzos adicionales para mejorar eficiencias, reducir gastos y lograr mejorar los niveles de calidad en los servicios, todo ello con el propósito de no generar un impacto mayor en las tarifas.</w:t>
      </w:r>
    </w:p>
    <w:p w14:paraId="7BFD45E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servicio medido doméstico se propone un incremento del 4.0% a la cuota base con incrementos en los costos variables por la aplicación de la indexación bimestral del 0.8%.</w:t>
      </w:r>
    </w:p>
    <w:p w14:paraId="3E70107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usuarios comerciales e industriales los incrementos se dan en la misma proporción arrancando con una cuota base al 4% y los consumos con un incremento gradual ascendente generado por la aplicación de la indexación del 0.8% bimestral a partir de marzo del 2024.</w:t>
      </w:r>
    </w:p>
    <w:p w14:paraId="6C340216"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servicios industriales, mixtos y públicos aplica el mismo ajuste del 4% y una indexación del 0.8% al bimestre.</w:t>
      </w:r>
    </w:p>
    <w:p w14:paraId="2240FEEE"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 xml:space="preserve">Para las tablas que contienen las tarifas para la comunidad de </w:t>
      </w:r>
      <w:proofErr w:type="spellStart"/>
      <w:r w:rsidRPr="00CA52D8">
        <w:rPr>
          <w:rFonts w:cs="Calibri"/>
        </w:rPr>
        <w:t>Cepio</w:t>
      </w:r>
      <w:proofErr w:type="spellEnd"/>
      <w:r w:rsidRPr="00CA52D8">
        <w:rPr>
          <w:rFonts w:cs="Calibri"/>
        </w:rPr>
        <w:t>, se proponen incrementos del 4% e indexación del 0.8% bimestral.</w:t>
      </w:r>
    </w:p>
    <w:p w14:paraId="3280AA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las tablas de todos los giros se proponen que se apliquen hasta los 100 metros cúbicos y no al 200 como se tiene actualmente.</w:t>
      </w:r>
    </w:p>
    <w:p w14:paraId="0D1AF47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El número de usuarios que consumen más de 100 metros cúbicos es realmente simbólico.</w:t>
      </w:r>
    </w:p>
    <w:p w14:paraId="5E21DAB0"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lo domestico son solamente 136 usuarios, en mixta 34, en comercial 49 y en industrial 18.</w:t>
      </w:r>
    </w:p>
    <w:p w14:paraId="53CF8121"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servicio de agua potable a cuotas fijas se propone o aplicar incrementos solo del 3% e indexación del 0.8%.</w:t>
      </w:r>
    </w:p>
    <w:p w14:paraId="5A99BE1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 fracción II de tarifas fijas se proponen incrementos del 3% e indexación del 0.8% bimestral</w:t>
      </w:r>
    </w:p>
    <w:p w14:paraId="571EF9F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III, relativa al servicio de alcantarillado se propone mantener para 2024 la tasa vigente del 20% y en la IV para tratamiento modificarla del 18% al del 20%.</w:t>
      </w:r>
    </w:p>
    <w:p w14:paraId="0EC7DC96" w14:textId="66782153" w:rsidR="00CA52D8" w:rsidRDefault="00CA52D8" w:rsidP="00CA52D8">
      <w:pPr>
        <w:tabs>
          <w:tab w:val="left" w:leader="underscore" w:pos="9639"/>
        </w:tabs>
        <w:spacing w:after="0" w:line="240" w:lineRule="auto"/>
        <w:jc w:val="both"/>
        <w:rPr>
          <w:rFonts w:cs="Calibri"/>
        </w:rPr>
      </w:pPr>
      <w:r w:rsidRPr="00CA52D8">
        <w:rPr>
          <w:rFonts w:cs="Calibri"/>
        </w:rPr>
        <w:t>Por lo que respecta al tratamiento de agua residual se propone incrementar la tasa del 18% vigente a un 20% para el año 2024. Los costos de operación de la planta no son cubiertos suficientemente con la tasa actual.</w:t>
      </w:r>
    </w:p>
    <w:p w14:paraId="0410F75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Actualmente para cumplir con el tratamiento se tienen que asignar recursos de otras partidas presupuestales lo cual a su vez genera insuficiencia en las actividades a donde corresponden las partidas disminuidas.</w:t>
      </w:r>
    </w:p>
    <w:p w14:paraId="19ECA99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Dentro de la misma fracción IV, los conceptos que tienen precio se incrementan en un 4%.</w:t>
      </w:r>
    </w:p>
    <w:p w14:paraId="273273B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contratos, instalación de ramal, caja de medición, medidores, descarga de agua residual, servicios administrativos y operativos, todos estos conceptos contenidos en las fracciones V, VI, VII, VIII, IX, X, XI, se propone incrementarlos en un 4%.</w:t>
      </w:r>
    </w:p>
    <w:p w14:paraId="558E5B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la fracción XII relativa a la Incorporación a la red hidráulica y sanitaria para fraccionamientos habitacionales, se modifica la tabla de cobro por tipo de vivienda para que esto responda a una relación directa entre las demandas de agua potable de acuerdo con sus dimensiones y el pago que por esos derechos debe realizarse.</w:t>
      </w:r>
    </w:p>
    <w:p w14:paraId="51608D2F"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Indica el artículo 333 del Código Territorial para el Estado y los Municipios de Guanajuato que debe cobrarse la dotación de agua por el costo marginal de la incorporación de nuevos volúmenes de agua para que se garanticen las inversiones para las fuentes de abastecimiento y en el mismo sentido se expresa respecto al alcantarillado y el tratamiento.</w:t>
      </w:r>
    </w:p>
    <w:p w14:paraId="001535E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cumplir con lo expuesto por el Código territorial se hace necesario ajustar los precios de litro por segundo para agua potable, Alcantarillado y tratamiento y, a consecuencia de ello, los precios a pagar por cada tipo de vivienda.</w:t>
      </w:r>
    </w:p>
    <w:p w14:paraId="48C1424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Como resultado del análisis de precios unitarios realizado, el cual se adjunta, llegamos al costo que debe aplicar y tomamos en cuenta tanto la dotación por tipo de vivienda como el hacinamiento generado por el censo de población 2020 realizado por el INEGI y llegamos a los precios por tipo de vivienda que se proponen en el documento del proyecto.</w:t>
      </w:r>
    </w:p>
    <w:p w14:paraId="3919289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 la ley vigente de la fracción b) se elimina el texto que hace referencia al cobro de títulos de explotación porque la componente de títulos va incluida en el costo del litro por segundo sobre la cual se fijaron los precios por tipo de vivienda.</w:t>
      </w:r>
    </w:p>
    <w:p w14:paraId="29A35C93" w14:textId="1537EFB2" w:rsidR="00CA52D8" w:rsidRDefault="00CA52D8" w:rsidP="00CA52D8">
      <w:pPr>
        <w:tabs>
          <w:tab w:val="left" w:leader="underscore" w:pos="9639"/>
        </w:tabs>
        <w:spacing w:after="0" w:line="240" w:lineRule="auto"/>
        <w:jc w:val="both"/>
        <w:rPr>
          <w:rFonts w:cs="Calibri"/>
        </w:rPr>
      </w:pPr>
      <w:r w:rsidRPr="00CA52D8">
        <w:rPr>
          <w:rFonts w:cs="Calibri"/>
        </w:rPr>
        <w:t>Se adiciona el inciso h) para que se bonifique el cobro por derechos de tratamiento cuando el fraccionador entregue la planta que cubra suficientemente la depuración de sus aguas residuales.</w:t>
      </w:r>
    </w:p>
    <w:p w14:paraId="3251FAD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XIII de Servicios operativos y administrativos para desarrollos inmobiliarios de todos los giros se proponen incrementos del 4%.</w:t>
      </w:r>
    </w:p>
    <w:p w14:paraId="248A787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cobro por derechos de Incorporaciones no habitacionales de la fracción XIV se modifican los importes del litro por segundo de agua potable, drenaje y tratamiento y se presentan por separado los análisis de precios unitarios correspondientes. Los importes corresponden a los costos marginales en los términos que establece el artículo 333 del Código Territorial.</w:t>
      </w:r>
    </w:p>
    <w:p w14:paraId="07514D7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En esa misma fracción se elimina el inciso c) de la vigente porque ya no aplica ese cobro bajo esta mecánica y se adiciona en su lugar el costo del litro por segundo de tratamiento respaldado por el análisis de precios unitarios correspondiente.</w:t>
      </w:r>
    </w:p>
    <w:p w14:paraId="5243FE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Las fracciones para incorporación individual, venta de agua tratada y descarga de contaminantes de las fracciones XI, XVI y XVII respectivamente, se incrementan un 4% y mantienen su estructura y mecánica de cobro.</w:t>
      </w:r>
    </w:p>
    <w:p w14:paraId="22FA7A8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 xml:space="preserve">En el Artículo 42 relativo a facilidades administrativas se mantienen los beneficios contenidos en la Ley vigente. </w:t>
      </w:r>
    </w:p>
    <w:p w14:paraId="7E3B0060" w14:textId="77777777" w:rsidR="00CA52D8" w:rsidRPr="00CA52D8" w:rsidRDefault="00CA52D8" w:rsidP="00CA52D8">
      <w:pPr>
        <w:tabs>
          <w:tab w:val="left" w:leader="underscore" w:pos="9639"/>
        </w:tabs>
        <w:spacing w:after="0" w:line="240" w:lineRule="auto"/>
        <w:jc w:val="both"/>
        <w:rPr>
          <w:rFonts w:cs="Calibri"/>
        </w:rPr>
      </w:pPr>
    </w:p>
    <w:p w14:paraId="0F29F0D1" w14:textId="388A6EB1" w:rsidR="00CA52D8" w:rsidRDefault="00CA52D8" w:rsidP="00CA52D8">
      <w:pPr>
        <w:tabs>
          <w:tab w:val="left" w:leader="underscore" w:pos="9639"/>
        </w:tabs>
        <w:spacing w:after="0" w:line="240" w:lineRule="auto"/>
        <w:jc w:val="both"/>
        <w:rPr>
          <w:rFonts w:cs="Calibri"/>
        </w:rPr>
      </w:pPr>
      <w:r w:rsidRPr="00CA52D8">
        <w:rPr>
          <w:rFonts w:cs="Calibri"/>
        </w:rPr>
        <w:t>Por todo lo anteriormente expuesto y basados en el cálculo de precios, es que ponemos a consideración del H. Ayuntamiento, nuestra propuesta para el ejercicio fiscal 2024, dando cumplimiento a las disposiciones normativas que inciden, respetando, como todos los años, el principio de autoridad que debe prevalecer para que puedan hacer su trabajo de análisis y autorización correspondiente.</w:t>
      </w:r>
    </w:p>
    <w:p w14:paraId="7E2CB7AC" w14:textId="77777777" w:rsidR="00CA52D8" w:rsidRDefault="00CA52D8" w:rsidP="00B30FC3">
      <w:pPr>
        <w:tabs>
          <w:tab w:val="left" w:leader="underscore" w:pos="9639"/>
        </w:tabs>
        <w:spacing w:after="0" w:line="240" w:lineRule="auto"/>
        <w:jc w:val="both"/>
        <w:rPr>
          <w:rFonts w:cs="Calibri"/>
        </w:rPr>
      </w:pPr>
    </w:p>
    <w:p w14:paraId="4174553D" w14:textId="77777777" w:rsidR="00B30FC3" w:rsidRPr="00E74967" w:rsidRDefault="00B30FC3" w:rsidP="00B30FC3">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DE3CD9" w14:textId="77777777" w:rsidR="00CA52D8" w:rsidRPr="00E74967" w:rsidRDefault="00CA52D8" w:rsidP="00CA52D8">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9571A2" w14:textId="0835271A" w:rsidR="00CA52D8" w:rsidRPr="00E74967" w:rsidRDefault="00CA52D8" w:rsidP="00CA52D8">
      <w:pPr>
        <w:spacing w:after="0" w:line="240" w:lineRule="auto"/>
        <w:jc w:val="both"/>
        <w:rPr>
          <w:rFonts w:cs="Calibri"/>
        </w:rPr>
      </w:pPr>
      <w:r>
        <w:rPr>
          <w:rFonts w:cs="Calibri"/>
        </w:rPr>
        <w:t>Captación, tratamiento y suministro de agua para uso doméstico.</w:t>
      </w:r>
    </w:p>
    <w:p w14:paraId="15F90EEC" w14:textId="7B9F47E1"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E2BB378" w14:textId="1879AA9B" w:rsidR="00CA52D8" w:rsidRDefault="00CA52D8" w:rsidP="00CA52D8">
      <w:pPr>
        <w:spacing w:after="0" w:line="240" w:lineRule="auto"/>
        <w:jc w:val="both"/>
        <w:rPr>
          <w:rFonts w:cs="Calibri"/>
        </w:rPr>
      </w:pPr>
      <w:r>
        <w:rPr>
          <w:rFonts w:cs="Calibri"/>
        </w:rPr>
        <w:t>Del 01 de enero al 31 de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439125" w14:textId="77777777" w:rsidR="00CA52D8" w:rsidRPr="00E74967" w:rsidRDefault="00CA52D8" w:rsidP="00CA52D8">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7E6F2A0"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1F6926E"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2B5C698B"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1349BC56"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ECAE39F"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88AFCF7"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27175E08"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467F2BA1"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17B98759"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438A1C3A" w14:textId="77777777" w:rsidR="00994E47"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2469AE12" w14:textId="77777777" w:rsidR="00994E47" w:rsidRPr="00FB4C27" w:rsidRDefault="00994E47" w:rsidP="00994E4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A0A78D1" w:rsidR="007D1E76" w:rsidRDefault="00994E47" w:rsidP="00CB41C4">
      <w:pPr>
        <w:tabs>
          <w:tab w:val="left" w:leader="underscore" w:pos="9639"/>
        </w:tabs>
        <w:spacing w:after="0" w:line="240" w:lineRule="auto"/>
        <w:jc w:val="both"/>
        <w:rPr>
          <w:rFonts w:cs="Calibri"/>
        </w:rPr>
      </w:pPr>
      <w:r>
        <w:rPr>
          <w:noProof/>
        </w:rPr>
        <w:drawing>
          <wp:inline distT="0" distB="0" distL="0" distR="0" wp14:anchorId="1EC9BC59" wp14:editId="1B1DB42F">
            <wp:extent cx="6151880" cy="38601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60165"/>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6B1F581" w:rsidR="007D1E76" w:rsidRPr="00E74967" w:rsidRDefault="00994E47" w:rsidP="00CB41C4">
      <w:pPr>
        <w:tabs>
          <w:tab w:val="left" w:leader="underscore" w:pos="9639"/>
        </w:tabs>
        <w:spacing w:after="0" w:line="240" w:lineRule="auto"/>
        <w:jc w:val="both"/>
        <w:rPr>
          <w:rFonts w:cs="Calibri"/>
        </w:rPr>
      </w:pPr>
      <w:r>
        <w:rPr>
          <w:rFonts w:cs="Calibri"/>
        </w:rPr>
        <w:t>Sin fideicomisos que manifestar durante el período.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FB929E6" w:rsidR="007D1E76" w:rsidRPr="00E74967" w:rsidRDefault="00994E47" w:rsidP="00CB41C4">
      <w:pPr>
        <w:tabs>
          <w:tab w:val="left" w:leader="underscore" w:pos="9639"/>
        </w:tabs>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BC5966A" w14:textId="36282152" w:rsidR="00994E47" w:rsidRPr="00E74967" w:rsidRDefault="00994E47" w:rsidP="00994E47">
      <w:pPr>
        <w:tabs>
          <w:tab w:val="left" w:leader="underscore" w:pos="9639"/>
        </w:tabs>
        <w:spacing w:after="0" w:line="240" w:lineRule="auto"/>
        <w:jc w:val="both"/>
        <w:rPr>
          <w:rFonts w:cs="Calibri"/>
        </w:rPr>
      </w:pPr>
      <w:r>
        <w:rPr>
          <w:rFonts w:cs="Calibri"/>
        </w:rPr>
        <w:t>Costo histórico.</w:t>
      </w:r>
    </w:p>
    <w:p w14:paraId="2DCF252C" w14:textId="59ED9DA5"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856439D" w:rsidR="007D1E76" w:rsidRPr="00E74967" w:rsidRDefault="00994E47" w:rsidP="00CB41C4">
      <w:pPr>
        <w:tabs>
          <w:tab w:val="left" w:leader="underscore" w:pos="9639"/>
        </w:tabs>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9828550"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1B5178A" w:rsidR="007D1E76" w:rsidRPr="00E74967" w:rsidRDefault="00994E47"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28F716" w:rsidR="007D1E76" w:rsidRPr="00E74967" w:rsidRDefault="00994E47"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60CF60E" w:rsidR="007D1E76" w:rsidRPr="00E74967" w:rsidRDefault="00994E47"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F794AC2" w:rsidR="006F0687" w:rsidRPr="00E74967" w:rsidRDefault="00994E47"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291E46F"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1D55D55" w:rsidR="007D1E76" w:rsidRPr="00E74967" w:rsidRDefault="00994E47" w:rsidP="00CB41C4">
      <w:pPr>
        <w:tabs>
          <w:tab w:val="left" w:leader="underscore" w:pos="9639"/>
        </w:tabs>
        <w:spacing w:after="0" w:line="240" w:lineRule="auto"/>
        <w:jc w:val="both"/>
        <w:rPr>
          <w:rFonts w:cs="Calibri"/>
        </w:rPr>
      </w:pPr>
      <w:r>
        <w:rPr>
          <w:rFonts w:cs="Calibri"/>
        </w:rPr>
        <w:t>N</w:t>
      </w:r>
      <w:r w:rsidR="00DF28AC">
        <w:rPr>
          <w:rFonts w:cs="Calibri"/>
        </w:rPr>
        <w:t>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648C5F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0DC7D9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3F02A76"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8D6638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D4484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C3443D"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C890F0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47813AA" w:rsidR="007D1E76" w:rsidRPr="00E74967" w:rsidRDefault="00DF28AC"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1459E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44D726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D091468"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66A6DF" w:rsidR="007D1E76" w:rsidRPr="00E74967" w:rsidRDefault="00DF28AC"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A2C1690"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DE0FF06" w14:textId="77777777" w:rsidR="00DF28AC" w:rsidRPr="00E74967" w:rsidRDefault="00DF28AC" w:rsidP="00DF28AC">
      <w:pPr>
        <w:tabs>
          <w:tab w:val="left" w:leader="underscore" w:pos="9639"/>
        </w:tabs>
        <w:spacing w:after="0" w:line="240" w:lineRule="auto"/>
        <w:jc w:val="both"/>
        <w:rPr>
          <w:rFonts w:cs="Calibri"/>
        </w:rPr>
      </w:pPr>
      <w:r>
        <w:rPr>
          <w:rFonts w:cs="Calibri"/>
        </w:rPr>
        <w:t>Parámetros de estimación de vida útil publicados en el DOF por el CONAC.</w:t>
      </w:r>
    </w:p>
    <w:p w14:paraId="18A5CC0A" w14:textId="24E3AFEE"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C18ACC1"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A8566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7BC02"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5C4659B"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7AACB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40FEA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B758D5A"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BCA33E"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ACF4A94"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6CED6D"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DD4A6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27B7EF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6C3DDF9"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274B0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1F459DD8" w14:textId="188703DF" w:rsidR="00DF28AC" w:rsidRDefault="007D1E76" w:rsidP="00DF28AC">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DF28AC" w:rsidRPr="00DF28AC">
        <w:rPr>
          <w:rFonts w:cs="Calibri"/>
        </w:rPr>
        <w:t xml:space="preserve"> </w:t>
      </w:r>
    </w:p>
    <w:p w14:paraId="0EAC34E4" w14:textId="77777777" w:rsidR="000C766F" w:rsidRDefault="000C766F" w:rsidP="00DF28AC">
      <w:pPr>
        <w:tabs>
          <w:tab w:val="left" w:leader="underscore" w:pos="9639"/>
        </w:tabs>
        <w:spacing w:after="0" w:line="240" w:lineRule="auto"/>
        <w:jc w:val="both"/>
        <w:rPr>
          <w:rFonts w:cs="Calibri"/>
        </w:rPr>
      </w:pPr>
    </w:p>
    <w:bookmarkStart w:id="9" w:name="_MON_1679905440"/>
    <w:bookmarkEnd w:id="9"/>
    <w:p w14:paraId="4CC51DF1" w14:textId="7AA07ED3" w:rsidR="00DF28AC" w:rsidRPr="00E74967" w:rsidRDefault="00587C86" w:rsidP="00DF28AC">
      <w:pPr>
        <w:tabs>
          <w:tab w:val="left" w:leader="underscore" w:pos="9639"/>
        </w:tabs>
        <w:spacing w:after="0" w:line="240" w:lineRule="auto"/>
        <w:jc w:val="both"/>
        <w:rPr>
          <w:rFonts w:cs="Calibri"/>
        </w:rPr>
      </w:pPr>
      <w:r>
        <w:rPr>
          <w:rFonts w:cs="Calibri"/>
        </w:rPr>
        <w:object w:dxaOrig="7998" w:dyaOrig="1472" w14:anchorId="46F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00.05pt;height:73.25pt" o:ole="">
            <v:imagedata r:id="rId13" o:title=""/>
          </v:shape>
          <o:OLEObject Type="Embed" ProgID="Excel.Sheet.12" ShapeID="_x0000_i1044" DrawAspect="Content" ObjectID="_1789458555" r:id="rId14"/>
        </w:object>
      </w:r>
      <w:bookmarkStart w:id="10" w:name="_GoBack"/>
      <w:bookmarkEnd w:id="10"/>
    </w:p>
    <w:p w14:paraId="411A826A" w14:textId="77777777" w:rsidR="00DF28AC" w:rsidRPr="00E74967" w:rsidRDefault="00DF28AC" w:rsidP="00DF28AC">
      <w:pPr>
        <w:tabs>
          <w:tab w:val="left" w:leader="underscore" w:pos="9639"/>
        </w:tabs>
        <w:spacing w:after="0" w:line="240" w:lineRule="auto"/>
        <w:jc w:val="both"/>
        <w:rPr>
          <w:rFonts w:cs="Calibri"/>
        </w:rPr>
      </w:pPr>
    </w:p>
    <w:p w14:paraId="07029157" w14:textId="1502A0F3" w:rsidR="00DF28AC" w:rsidRDefault="007D1E76" w:rsidP="00DF28A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DF28AC" w:rsidRPr="00DF28AC">
        <w:rPr>
          <w:rFonts w:cs="Calibri"/>
        </w:rPr>
        <w:t xml:space="preserve"> </w:t>
      </w:r>
    </w:p>
    <w:p w14:paraId="20E551FC" w14:textId="77777777" w:rsidR="000C766F" w:rsidRDefault="000C766F" w:rsidP="00DF28AC">
      <w:pPr>
        <w:tabs>
          <w:tab w:val="left" w:leader="underscore" w:pos="9639"/>
        </w:tabs>
        <w:spacing w:after="0" w:line="240" w:lineRule="auto"/>
        <w:jc w:val="both"/>
        <w:rPr>
          <w:rFonts w:cs="Calibri"/>
        </w:rPr>
      </w:pPr>
    </w:p>
    <w:bookmarkStart w:id="11" w:name="_MON_1679905944"/>
    <w:bookmarkEnd w:id="11"/>
    <w:p w14:paraId="088E5E52" w14:textId="6C476304" w:rsidR="00DF28AC" w:rsidRPr="00E74967" w:rsidRDefault="00587C86" w:rsidP="00DF28AC">
      <w:pPr>
        <w:tabs>
          <w:tab w:val="left" w:leader="underscore" w:pos="9639"/>
        </w:tabs>
        <w:spacing w:after="0" w:line="240" w:lineRule="auto"/>
        <w:jc w:val="both"/>
        <w:rPr>
          <w:rFonts w:cs="Calibri"/>
        </w:rPr>
      </w:pPr>
      <w:r>
        <w:rPr>
          <w:rFonts w:cs="Calibri"/>
        </w:rPr>
        <w:object w:dxaOrig="7998" w:dyaOrig="1472" w14:anchorId="4D5312BC">
          <v:shape id="_x0000_i1036" type="#_x0000_t75" style="width:400.05pt;height:73.25pt" o:ole="">
            <v:imagedata r:id="rId15" o:title=""/>
          </v:shape>
          <o:OLEObject Type="Embed" ProgID="Excel.Sheet.12" ShapeID="_x0000_i1036" DrawAspect="Content" ObjectID="_1789458556" r:id="rId16"/>
        </w:object>
      </w:r>
    </w:p>
    <w:p w14:paraId="58C52D9B" w14:textId="77777777" w:rsidR="00DF28AC" w:rsidRPr="00E74967" w:rsidRDefault="00DF28AC" w:rsidP="00DF28AC">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2"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3"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E62F8DF" w:rsidR="007D1E76" w:rsidRPr="00E74967" w:rsidRDefault="00017F5B"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4"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D2BD103" w14:textId="77777777" w:rsidR="00017F5B" w:rsidRPr="00E74967" w:rsidRDefault="00017F5B" w:rsidP="00017F5B">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C599F15" w14:textId="77777777" w:rsidR="00017F5B" w:rsidRPr="00E74967" w:rsidRDefault="00017F5B" w:rsidP="00017F5B">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5"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FF1A163" w:rsidR="001C34BC"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3C9283B" w14:textId="2F67C1D5" w:rsidR="002E5D1F" w:rsidRDefault="00BA3C38" w:rsidP="001C34BC">
      <w:pPr>
        <w:tabs>
          <w:tab w:val="left" w:leader="underscore" w:pos="9639"/>
        </w:tabs>
        <w:spacing w:after="0" w:line="240" w:lineRule="auto"/>
        <w:jc w:val="both"/>
        <w:rPr>
          <w:rFonts w:cs="Calibri"/>
        </w:rPr>
      </w:pPr>
      <w:r>
        <w:rPr>
          <w:rFonts w:cs="Calibri"/>
        </w:rPr>
        <w:t>Aclaratoria de diferencias, por requerimiento a cuenta pública del ejercicio 2023, en cuanto al pagado de egresos</w:t>
      </w:r>
      <w:r w:rsidR="00AC3B2C">
        <w:rPr>
          <w:rFonts w:cs="Calibri"/>
        </w:rPr>
        <w:t xml:space="preserve"> con efecto presupuestal </w:t>
      </w:r>
      <w:r w:rsidR="00190F06">
        <w:rPr>
          <w:rFonts w:cs="Calibri"/>
        </w:rPr>
        <w:t xml:space="preserve">solo </w:t>
      </w:r>
      <w:r w:rsidR="00AC3B2C">
        <w:rPr>
          <w:rFonts w:cs="Calibri"/>
        </w:rPr>
        <w:t>en dicho ejercicio</w:t>
      </w:r>
      <w:r w:rsidR="00190F06">
        <w:rPr>
          <w:rFonts w:cs="Calibri"/>
        </w:rPr>
        <w:t xml:space="preserve"> fiscal</w:t>
      </w:r>
      <w:r w:rsidR="00AC3B2C">
        <w:rPr>
          <w:rFonts w:cs="Calibri"/>
        </w:rPr>
        <w:t>.</w:t>
      </w:r>
    </w:p>
    <w:p w14:paraId="0F8446F1" w14:textId="60A24385" w:rsidR="00AC3B2C" w:rsidRDefault="00AC3B2C" w:rsidP="001C34BC">
      <w:pPr>
        <w:tabs>
          <w:tab w:val="left" w:leader="underscore" w:pos="9639"/>
        </w:tabs>
        <w:spacing w:after="0" w:line="240" w:lineRule="auto"/>
        <w:jc w:val="both"/>
        <w:rPr>
          <w:rFonts w:cs="Calibri"/>
        </w:rPr>
      </w:pPr>
    </w:p>
    <w:p w14:paraId="4C053974" w14:textId="73D0440D" w:rsidR="00AC3B2C" w:rsidRDefault="00AC3B2C" w:rsidP="001C34BC">
      <w:pPr>
        <w:tabs>
          <w:tab w:val="left" w:leader="underscore" w:pos="9639"/>
        </w:tabs>
        <w:spacing w:after="0" w:line="240" w:lineRule="auto"/>
        <w:jc w:val="both"/>
        <w:rPr>
          <w:rFonts w:cs="Calibri"/>
        </w:rPr>
      </w:pPr>
      <w:r>
        <w:rPr>
          <w:rFonts w:cs="Calibri"/>
        </w:rPr>
        <w:t>Al respecto informamos que el importe del gasto presupuestal pagado haciende a $59’996,547.91 pesos en 2023 y las diferencias planteadas en Anexo</w:t>
      </w:r>
      <w:r w:rsidR="00190F06">
        <w:rPr>
          <w:rFonts w:cs="Calibri"/>
        </w:rPr>
        <w:t>,</w:t>
      </w:r>
      <w:r>
        <w:rPr>
          <w:rFonts w:cs="Calibri"/>
        </w:rPr>
        <w:t xml:space="preserve"> resultaron por migración a S4/HANA del Sistema de Contabilidad.</w:t>
      </w:r>
    </w:p>
    <w:p w14:paraId="3D5E5F48" w14:textId="687A3202" w:rsidR="00AC3B2C" w:rsidRDefault="00AC3B2C" w:rsidP="001C34BC">
      <w:pPr>
        <w:tabs>
          <w:tab w:val="left" w:leader="underscore" w:pos="9639"/>
        </w:tabs>
        <w:spacing w:after="0" w:line="240" w:lineRule="auto"/>
        <w:jc w:val="both"/>
        <w:rPr>
          <w:rFonts w:cs="Calibri"/>
        </w:rPr>
      </w:pPr>
    </w:p>
    <w:p w14:paraId="32DD634C" w14:textId="1AD3A397" w:rsidR="00AC3B2C" w:rsidRDefault="00AC3B2C" w:rsidP="001C34BC">
      <w:pPr>
        <w:tabs>
          <w:tab w:val="left" w:leader="underscore" w:pos="9639"/>
        </w:tabs>
        <w:spacing w:after="0" w:line="240" w:lineRule="auto"/>
        <w:jc w:val="both"/>
        <w:rPr>
          <w:rFonts w:cs="Calibri"/>
        </w:rPr>
      </w:pPr>
      <w:r>
        <w:rPr>
          <w:rFonts w:cs="Calibri"/>
        </w:rPr>
        <w:t xml:space="preserve">Comprometiéndonos </w:t>
      </w:r>
      <w:r w:rsidR="00190F06">
        <w:rPr>
          <w:rFonts w:cs="Calibri"/>
        </w:rPr>
        <w:t>al fortalecimiento de controles internos que eviten repetir estas anomalías.</w:t>
      </w:r>
    </w:p>
    <w:p w14:paraId="1AFD9B1C" w14:textId="77777777" w:rsidR="00190F06" w:rsidRPr="00E74967" w:rsidRDefault="00190F06"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7"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39DD097" w:rsidR="007D1E76" w:rsidRPr="00E74967" w:rsidRDefault="00017F5B"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8"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6DC05DAB" w:rsidR="00D5018E" w:rsidRDefault="00D5018E" w:rsidP="00D5018E">
      <w:pPr>
        <w:pBdr>
          <w:bottom w:val="single" w:sz="12" w:space="1" w:color="auto"/>
        </w:pBdr>
        <w:tabs>
          <w:tab w:val="left" w:leader="underscore" w:pos="9639"/>
        </w:tabs>
        <w:spacing w:after="0" w:line="240" w:lineRule="auto"/>
        <w:jc w:val="both"/>
        <w:rPr>
          <w:rFonts w:cs="Calibri"/>
        </w:rPr>
      </w:pPr>
    </w:p>
    <w:p w14:paraId="07D666EE" w14:textId="47376B0A" w:rsidR="00F07C43" w:rsidRDefault="00F07C43" w:rsidP="00D5018E">
      <w:pPr>
        <w:pBdr>
          <w:bottom w:val="single" w:sz="12" w:space="1" w:color="auto"/>
        </w:pBdr>
        <w:tabs>
          <w:tab w:val="left" w:leader="underscore" w:pos="9639"/>
        </w:tabs>
        <w:spacing w:after="0" w:line="240" w:lineRule="auto"/>
        <w:jc w:val="both"/>
        <w:rPr>
          <w:rFonts w:cs="Calibri"/>
        </w:rPr>
      </w:pPr>
    </w:p>
    <w:sectPr w:rsidR="00F07C4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0CB08" w14:textId="77777777" w:rsidR="00997174" w:rsidRDefault="00997174" w:rsidP="00E00323">
      <w:pPr>
        <w:spacing w:after="0" w:line="240" w:lineRule="auto"/>
      </w:pPr>
      <w:r>
        <w:separator/>
      </w:r>
    </w:p>
  </w:endnote>
  <w:endnote w:type="continuationSeparator" w:id="0">
    <w:p w14:paraId="7D48FB3C" w14:textId="77777777" w:rsidR="00997174" w:rsidRDefault="0099717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ACE41" w14:textId="77777777" w:rsidR="00997174" w:rsidRDefault="00997174" w:rsidP="00E00323">
      <w:pPr>
        <w:spacing w:after="0" w:line="240" w:lineRule="auto"/>
      </w:pPr>
      <w:r>
        <w:separator/>
      </w:r>
    </w:p>
  </w:footnote>
  <w:footnote w:type="continuationSeparator" w:id="0">
    <w:p w14:paraId="7FEEEDEB" w14:textId="77777777" w:rsidR="00997174" w:rsidRDefault="0099717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763A7BAB" w:rsidR="00154BA3" w:rsidRDefault="005337A9" w:rsidP="00A4610E">
    <w:pPr>
      <w:pStyle w:val="Encabezado"/>
      <w:spacing w:after="0" w:line="240" w:lineRule="auto"/>
      <w:jc w:val="center"/>
    </w:pPr>
    <w:r>
      <w:t>Sistema Municipal de Agua Potable y Alcantarillado de Moroleón</w:t>
    </w:r>
  </w:p>
  <w:p w14:paraId="651A4C4F" w14:textId="52B2C5FD" w:rsidR="00A4610E" w:rsidRDefault="00A4610E" w:rsidP="00A4610E">
    <w:pPr>
      <w:pStyle w:val="Encabezado"/>
      <w:spacing w:after="0" w:line="240" w:lineRule="auto"/>
      <w:jc w:val="center"/>
    </w:pPr>
    <w:r w:rsidRPr="00A4610E">
      <w:t>CORRESPONDI</w:t>
    </w:r>
    <w:r w:rsidR="00DD018C">
      <w:t>E</w:t>
    </w:r>
    <w:r w:rsidRPr="00A4610E">
      <w:t xml:space="preserve">NTES AL </w:t>
    </w:r>
    <w:r w:rsidR="005337A9">
      <w:t>3</w:t>
    </w:r>
    <w:r w:rsidR="007F6385">
      <w:t>0</w:t>
    </w:r>
    <w:r w:rsidR="005337A9">
      <w:t xml:space="preserve"> DE </w:t>
    </w:r>
    <w:r w:rsidR="007F6385">
      <w:t>SEPTIEMBRE</w:t>
    </w:r>
    <w:r w:rsidR="00EE1E17">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5B"/>
    <w:rsid w:val="000310EF"/>
    <w:rsid w:val="00040D4F"/>
    <w:rsid w:val="00084EAE"/>
    <w:rsid w:val="00091CE6"/>
    <w:rsid w:val="000B7810"/>
    <w:rsid w:val="000C10F4"/>
    <w:rsid w:val="000C3365"/>
    <w:rsid w:val="000C766F"/>
    <w:rsid w:val="00106EE9"/>
    <w:rsid w:val="0012405A"/>
    <w:rsid w:val="0012493A"/>
    <w:rsid w:val="00154BA3"/>
    <w:rsid w:val="00156724"/>
    <w:rsid w:val="00190F06"/>
    <w:rsid w:val="001973A2"/>
    <w:rsid w:val="001C34BC"/>
    <w:rsid w:val="001C710C"/>
    <w:rsid w:val="001C75F2"/>
    <w:rsid w:val="001D2063"/>
    <w:rsid w:val="001D43E9"/>
    <w:rsid w:val="00231FBE"/>
    <w:rsid w:val="00232175"/>
    <w:rsid w:val="00233DED"/>
    <w:rsid w:val="0024740E"/>
    <w:rsid w:val="002722DD"/>
    <w:rsid w:val="00295B72"/>
    <w:rsid w:val="002E5D1F"/>
    <w:rsid w:val="003453CA"/>
    <w:rsid w:val="00396D53"/>
    <w:rsid w:val="003E6C64"/>
    <w:rsid w:val="0043078C"/>
    <w:rsid w:val="00435A87"/>
    <w:rsid w:val="004A1077"/>
    <w:rsid w:val="004A58C8"/>
    <w:rsid w:val="004F234D"/>
    <w:rsid w:val="004F6FAC"/>
    <w:rsid w:val="005053EE"/>
    <w:rsid w:val="00516100"/>
    <w:rsid w:val="00516A8F"/>
    <w:rsid w:val="005337A9"/>
    <w:rsid w:val="00540261"/>
    <w:rsid w:val="0054701E"/>
    <w:rsid w:val="00587C86"/>
    <w:rsid w:val="005B5531"/>
    <w:rsid w:val="005D3E43"/>
    <w:rsid w:val="005E231E"/>
    <w:rsid w:val="005F2900"/>
    <w:rsid w:val="005F51CC"/>
    <w:rsid w:val="0064059E"/>
    <w:rsid w:val="00657009"/>
    <w:rsid w:val="00681C79"/>
    <w:rsid w:val="00684909"/>
    <w:rsid w:val="006B1ADF"/>
    <w:rsid w:val="006F0687"/>
    <w:rsid w:val="006F77A8"/>
    <w:rsid w:val="007610BC"/>
    <w:rsid w:val="007714AB"/>
    <w:rsid w:val="007D1E76"/>
    <w:rsid w:val="007D4484"/>
    <w:rsid w:val="007E38A2"/>
    <w:rsid w:val="007F6385"/>
    <w:rsid w:val="007F699D"/>
    <w:rsid w:val="00806269"/>
    <w:rsid w:val="0086420E"/>
    <w:rsid w:val="0086459F"/>
    <w:rsid w:val="008C3BB8"/>
    <w:rsid w:val="008D4E72"/>
    <w:rsid w:val="008E076C"/>
    <w:rsid w:val="0092765C"/>
    <w:rsid w:val="00967DDA"/>
    <w:rsid w:val="009736CB"/>
    <w:rsid w:val="00994E47"/>
    <w:rsid w:val="00997174"/>
    <w:rsid w:val="009C47F6"/>
    <w:rsid w:val="00A4610E"/>
    <w:rsid w:val="00A62F0E"/>
    <w:rsid w:val="00A6346D"/>
    <w:rsid w:val="00A730E0"/>
    <w:rsid w:val="00AA2768"/>
    <w:rsid w:val="00AA41E5"/>
    <w:rsid w:val="00AB722B"/>
    <w:rsid w:val="00AC3B2C"/>
    <w:rsid w:val="00AE1F6A"/>
    <w:rsid w:val="00AF4375"/>
    <w:rsid w:val="00B073DE"/>
    <w:rsid w:val="00B30FC3"/>
    <w:rsid w:val="00B4463A"/>
    <w:rsid w:val="00B6368B"/>
    <w:rsid w:val="00BA3C38"/>
    <w:rsid w:val="00BA53FE"/>
    <w:rsid w:val="00BE02EB"/>
    <w:rsid w:val="00C27C88"/>
    <w:rsid w:val="00C4250B"/>
    <w:rsid w:val="00C4625D"/>
    <w:rsid w:val="00C54C12"/>
    <w:rsid w:val="00C93C67"/>
    <w:rsid w:val="00C97E1E"/>
    <w:rsid w:val="00CA52D8"/>
    <w:rsid w:val="00CB41C4"/>
    <w:rsid w:val="00CF1316"/>
    <w:rsid w:val="00D13C44"/>
    <w:rsid w:val="00D32331"/>
    <w:rsid w:val="00D40FC2"/>
    <w:rsid w:val="00D5018E"/>
    <w:rsid w:val="00D546B2"/>
    <w:rsid w:val="00D975B1"/>
    <w:rsid w:val="00DD018C"/>
    <w:rsid w:val="00DF28AC"/>
    <w:rsid w:val="00E00323"/>
    <w:rsid w:val="00E11758"/>
    <w:rsid w:val="00E74967"/>
    <w:rsid w:val="00E7559F"/>
    <w:rsid w:val="00E85520"/>
    <w:rsid w:val="00E9132F"/>
    <w:rsid w:val="00EA37F5"/>
    <w:rsid w:val="00EA7915"/>
    <w:rsid w:val="00ED7AA0"/>
    <w:rsid w:val="00EE02E8"/>
    <w:rsid w:val="00EE1E17"/>
    <w:rsid w:val="00F067C8"/>
    <w:rsid w:val="00F07C43"/>
    <w:rsid w:val="00F43AC5"/>
    <w:rsid w:val="00F46719"/>
    <w:rsid w:val="00F54F6F"/>
    <w:rsid w:val="00F6102D"/>
    <w:rsid w:val="00F65A92"/>
    <w:rsid w:val="00F6759B"/>
    <w:rsid w:val="00FC142F"/>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7C2870A0-422E-42E7-8A1E-07ED97AE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3973</Words>
  <Characters>21854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79</cp:revision>
  <dcterms:created xsi:type="dcterms:W3CDTF">2017-01-12T05:27:00Z</dcterms:created>
  <dcterms:modified xsi:type="dcterms:W3CDTF">2024-10-03T17:03:00Z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