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A62F0E"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5337A9" w:rsidRDefault="00F067C8" w:rsidP="00F067C8">
      <w:pPr>
        <w:tabs>
          <w:tab w:val="left" w:leader="underscore" w:pos="9639"/>
        </w:tabs>
        <w:spacing w:after="0" w:line="240" w:lineRule="auto"/>
        <w:jc w:val="center"/>
        <w:rPr>
          <w:rFonts w:cs="Calibri"/>
          <w:color w:val="FFFFFF" w:themeColor="background1"/>
        </w:rPr>
      </w:pPr>
      <w:r w:rsidRPr="005337A9">
        <w:rPr>
          <w:rFonts w:cs="Calibri"/>
          <w:color w:val="FFFFFF" w:themeColor="background1"/>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A62F0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1223E428" w14:textId="77777777" w:rsidR="00684909" w:rsidRPr="001A0994" w:rsidRDefault="00684909" w:rsidP="00684909">
      <w:pPr>
        <w:spacing w:after="0" w:line="240" w:lineRule="auto"/>
        <w:jc w:val="both"/>
        <w:rPr>
          <w:rFonts w:asciiTheme="minorHAnsi" w:hAnsiTheme="minorHAnsi" w:cstheme="minorHAnsi"/>
        </w:rPr>
      </w:pPr>
      <w:r w:rsidRPr="001A0994">
        <w:rPr>
          <w:rFonts w:asciiTheme="minorHAnsi" w:hAnsiTheme="minorHAnsi" w:cstheme="minorHAnsi"/>
        </w:rPr>
        <w:t>Con fecha 01 de Febrero de 1986; se crea para prestación de los servicios públicos del Agua Potable, Alcantarillado, Saneamiento y Tratamiento de Aguas Residuales en la cabecera Municipal de Moroleón, Guanajuato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F7FFC72" w14:textId="77777777" w:rsidR="00684909" w:rsidRPr="00BC5342" w:rsidRDefault="00684909" w:rsidP="00684909">
      <w:pPr>
        <w:spacing w:after="0" w:line="240" w:lineRule="auto"/>
        <w:jc w:val="both"/>
        <w:rPr>
          <w:rFonts w:cs="Calibri"/>
        </w:rPr>
      </w:pPr>
      <w:r w:rsidRPr="001A0994">
        <w:rPr>
          <w:rFonts w:asciiTheme="minorHAnsi" w:hAnsiTheme="minorHAnsi" w:cstheme="minorHAnsi"/>
        </w:rPr>
        <w:t xml:space="preserve">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w:t>
      </w:r>
      <w:r w:rsidRPr="00BC5342">
        <w:rPr>
          <w:rFonts w:cs="Calibri"/>
        </w:rPr>
        <w:t>enfermedades gastrointestinales de origen hídrico, que hacían estragos tremendos especialmente entre los niños; por lo cual el Índice de mortalidad infantil era muy elevado.</w:t>
      </w:r>
    </w:p>
    <w:p w14:paraId="0C046B12" w14:textId="77777777" w:rsidR="00684909" w:rsidRPr="00BC5342" w:rsidRDefault="00684909" w:rsidP="00684909">
      <w:pPr>
        <w:spacing w:after="0" w:line="240" w:lineRule="auto"/>
        <w:jc w:val="both"/>
        <w:rPr>
          <w:rFonts w:cs="Calibri"/>
        </w:rPr>
      </w:pPr>
    </w:p>
    <w:p w14:paraId="208C5A39" w14:textId="77777777" w:rsidR="00684909" w:rsidRPr="00BC5342" w:rsidRDefault="00684909" w:rsidP="00684909">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436DF787" w14:textId="77777777" w:rsidR="00684909" w:rsidRPr="00BC5342" w:rsidRDefault="00684909" w:rsidP="00684909">
      <w:pPr>
        <w:spacing w:after="0" w:line="240" w:lineRule="auto"/>
        <w:jc w:val="both"/>
        <w:rPr>
          <w:rFonts w:cs="Calibri"/>
        </w:rPr>
      </w:pPr>
    </w:p>
    <w:p w14:paraId="6CBDC012" w14:textId="77777777" w:rsidR="00684909" w:rsidRPr="00BC5342" w:rsidRDefault="00684909" w:rsidP="00684909">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467E5E10" w14:textId="77777777" w:rsidR="00684909" w:rsidRPr="00BC5342" w:rsidRDefault="00684909" w:rsidP="00684909">
      <w:pPr>
        <w:spacing w:after="0" w:line="240" w:lineRule="auto"/>
        <w:jc w:val="both"/>
        <w:rPr>
          <w:rFonts w:cs="Calibri"/>
        </w:rPr>
      </w:pPr>
    </w:p>
    <w:p w14:paraId="78EB5876" w14:textId="77777777" w:rsidR="00684909" w:rsidRPr="00BC5342" w:rsidRDefault="00684909" w:rsidP="00684909">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lastRenderedPageBreak/>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2EE8DD6F" w14:textId="54F9D0B0" w:rsidR="00B30FC3" w:rsidRDefault="00B30FC3" w:rsidP="00B30FC3">
      <w:pPr>
        <w:tabs>
          <w:tab w:val="left" w:leader="underscore" w:pos="9639"/>
        </w:tabs>
        <w:spacing w:after="0" w:line="240" w:lineRule="auto"/>
        <w:jc w:val="both"/>
        <w:rPr>
          <w:rFonts w:cs="Calibri"/>
        </w:rPr>
      </w:pPr>
    </w:p>
    <w:p w14:paraId="1D21F93D"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Exposición General de Motivos</w:t>
      </w:r>
    </w:p>
    <w:p w14:paraId="3B63575A" w14:textId="77777777" w:rsidR="00CA52D8" w:rsidRPr="00CA52D8" w:rsidRDefault="00CA52D8" w:rsidP="00CA52D8">
      <w:pPr>
        <w:tabs>
          <w:tab w:val="left" w:leader="underscore" w:pos="9639"/>
        </w:tabs>
        <w:spacing w:after="0" w:line="240" w:lineRule="auto"/>
        <w:jc w:val="both"/>
        <w:rPr>
          <w:rFonts w:cs="Calibri"/>
        </w:rPr>
      </w:pPr>
    </w:p>
    <w:p w14:paraId="6D1AE864"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cubrir las demandas de servicios de los ciudadanos en cuanto al suministro de agua potable, alcantarillado y tratamiento, SMAPAM debe  tener en funcionamiento una infraestructura hidráulica y sanitaria compuesta por  fuentes de abastecimiento y redes de conducción y distribución con una gasto económico significativo de recursos humanos y materiales, así como los cargos de energía eléctrica usada primordialmente en las actividades de operación para la extracción, siendo necesario mantener anualmente un desarrollo en las tarifas que nos permita lograr los niveles de recaudación que garanticen el gasto corriente y el gasto de inversión que el organismo necesita para seguir atendiendo en forma eficiente a la población del municipio.</w:t>
      </w:r>
    </w:p>
    <w:p w14:paraId="3C523638"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Los incrementos en los precios directos durante el último año nos representan un total del 8.27%, conforme al cálculo realizado mediante el uso de la metodología de impactos ponderados y que estos incrementos son reales y no son sustituibles debido a que los insumos a que se refieren son la parte medular de nuestro sistema operativo.</w:t>
      </w:r>
    </w:p>
    <w:p w14:paraId="38F6DFC8"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Los efectos reales de incremento a precios por servicios e insumos que se realizan en la operación de la infraestructura no forman parte de los elementos que integran la canasta básica y por ello es por lo que nos enfrentamos a un impacto inflacionario mayor al INPC.</w:t>
      </w:r>
    </w:p>
    <w:p w14:paraId="71F3C289"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Dicha aseveración queda probada mediante el cálculo presentado en el que se observan los impactos reales de un ejercicio fiscal, hecho que debe tomarse en cuenta porque es justamente el periodo en que se realizan los trabajos de elaboración de propuestas y para efecto de cálculo debe tomarse el referente de un año completo.</w:t>
      </w:r>
    </w:p>
    <w:p w14:paraId="2F7AFB88"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En esa proporción se han afectado los insumos que requerimos dentro de nuestros procesos administrativos y comerciales y que además los costos operativos y de materiales para propósitos de mantenimiento y operación han tenido un impacto mayor a de la inflación anual dado que se trata de materiales a base de aceros, metales y componentes que no están de ninguna manera considerados dentro de la canasta básica, como tampoco lo están combustibles, lubricantes y equipo de bombeo, así como piezas de fierro fundido y materiales especiales entre otros que son de uso común para nosotros, los cuales han tenido incrementos superiores al INPC.</w:t>
      </w:r>
    </w:p>
    <w:p w14:paraId="1C104A54"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Tratando de continuar dando un servicio de calidad para los ciudadanos de Moroleón, es intención de este organismo operador no generar incrementos considerables, aun cuando las condiciones económicas de operación los justifican.</w:t>
      </w:r>
    </w:p>
    <w:p w14:paraId="38003BA7"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La operación de los servicios para atender los requerimientos de la población en el año 2024 demandará un fuerte gasto económico por lo que estaremos haciendo esfuerzos adicionales para mejorar eficiencias, reducir gastos y lograr mejorar los niveles de calidad en los servicios, todo ello con el propósito de no generar un impacto mayor en las tarifas.</w:t>
      </w:r>
    </w:p>
    <w:p w14:paraId="7BFD45EA"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el servicio medido doméstico se propone un incremento del 4.0% a la cuota base con incrementos en los costos variables por la aplicación de la indexación bimestral del 0.8%.</w:t>
      </w:r>
    </w:p>
    <w:p w14:paraId="3E701074"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los usuarios comerciales e industriales los incrementos se dan en la misma proporción arrancando con una cuota base al 4% y los consumos con un incremento gradual ascendente generado por la aplicación de la indexación del 0.8% bimestral a partir de marzo del 2024.</w:t>
      </w:r>
    </w:p>
    <w:p w14:paraId="6C340216"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los servicios industriales, mixtos y públicos aplica el mismo ajuste del 4% y una indexación del 0.8% al bimestre.</w:t>
      </w:r>
    </w:p>
    <w:p w14:paraId="2240FEEE"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lastRenderedPageBreak/>
        <w:t xml:space="preserve">Para las tablas que contienen las tarifas para la comunidad de </w:t>
      </w:r>
      <w:proofErr w:type="spellStart"/>
      <w:r w:rsidRPr="00CA52D8">
        <w:rPr>
          <w:rFonts w:cs="Calibri"/>
        </w:rPr>
        <w:t>Cepio</w:t>
      </w:r>
      <w:proofErr w:type="spellEnd"/>
      <w:r w:rsidRPr="00CA52D8">
        <w:rPr>
          <w:rFonts w:cs="Calibri"/>
        </w:rPr>
        <w:t>, se proponen incrementos del 4% e indexación del 0.8% bimestral.</w:t>
      </w:r>
    </w:p>
    <w:p w14:paraId="3280AA88"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las tablas de todos los giros se proponen que se apliquen hasta los 100 metros cúbicos y no al 200 como se tiene actualmente.</w:t>
      </w:r>
    </w:p>
    <w:p w14:paraId="0D1AF47B"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El número de usuarios que consumen más de 100 metros cúbicos es realmente simbólico.</w:t>
      </w:r>
    </w:p>
    <w:p w14:paraId="5E21DAB0"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En lo domestico son solamente 136 usuarios, en mixta 34, en comercial 49 y en industrial 18.</w:t>
      </w:r>
    </w:p>
    <w:p w14:paraId="53CF8121"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En cuanto a servicio de agua potable a cuotas fijas se propone o aplicar incrementos solo del 3% e indexación del 0.8%.</w:t>
      </w:r>
    </w:p>
    <w:p w14:paraId="5A99BE1B"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la fracción II de tarifas fijas se proponen incrementos del 3% e indexación del 0.8% bimestral</w:t>
      </w:r>
    </w:p>
    <w:p w14:paraId="571EF9F5"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En la fracción III, relativa al servicio de alcantarillado se propone mantener para 2024 la tasa vigente del 20% y en la IV para tratamiento modificarla del 18% al del 20%.</w:t>
      </w:r>
    </w:p>
    <w:p w14:paraId="0EC7DC96" w14:textId="66782153" w:rsidR="00CA52D8" w:rsidRDefault="00CA52D8" w:rsidP="00CA52D8">
      <w:pPr>
        <w:tabs>
          <w:tab w:val="left" w:leader="underscore" w:pos="9639"/>
        </w:tabs>
        <w:spacing w:after="0" w:line="240" w:lineRule="auto"/>
        <w:jc w:val="both"/>
        <w:rPr>
          <w:rFonts w:cs="Calibri"/>
        </w:rPr>
      </w:pPr>
      <w:r w:rsidRPr="00CA52D8">
        <w:rPr>
          <w:rFonts w:cs="Calibri"/>
        </w:rPr>
        <w:t>Por lo que respecta al tratamiento de agua residual se propone incrementar la tasa del 18% vigente a un 20% para el año 2024. Los costos de operación de la planta no son cubiertos suficientemente con la tasa actual.</w:t>
      </w:r>
    </w:p>
    <w:p w14:paraId="0410F752"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Actualmente para cumplir con el tratamiento se tienen que asignar recursos de otras partidas presupuestales lo cual a su vez genera insuficiencia en las actividades a donde corresponden las partidas disminuidas.</w:t>
      </w:r>
    </w:p>
    <w:p w14:paraId="19ECA995"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Dentro de la misma fracción IV, los conceptos que tienen precio se incrementan en un 4%.</w:t>
      </w:r>
    </w:p>
    <w:p w14:paraId="273273BA"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contratos, instalación de ramal, caja de medición, medidores, descarga de agua residual, servicios administrativos y operativos, todos estos conceptos contenidos en las fracciones V, VI, VII, VIII, IX, X, XI, se propone incrementarlos en un 4%.</w:t>
      </w:r>
    </w:p>
    <w:p w14:paraId="558E5BB2"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En cuanto a la fracción XII relativa a la Incorporación a la red hidráulica y sanitaria para fraccionamientos habitacionales, se modifica la tabla de cobro por tipo de vivienda para que esto responda a una relación directa entre las demandas de agua potable de acuerdo con sus dimensiones y el pago que por esos derechos debe realizarse.</w:t>
      </w:r>
    </w:p>
    <w:p w14:paraId="51608D2F"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Indica el artículo 333 del Código Territorial para el Estado y los Municipios de Guanajuato que debe cobrarse la dotación de agua por el costo marginal de la incorporación de nuevos volúmenes de agua para que se garanticen las inversiones para las fuentes de abastecimiento y en el mismo sentido se expresa respecto al alcantarillado y el tratamiento.</w:t>
      </w:r>
    </w:p>
    <w:p w14:paraId="001535E5"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cumplir con lo expuesto por el Código territorial se hace necesario ajustar los precios de litro por segundo para agua potable, Alcantarillado y tratamiento y, a consecuencia de ello, los precios a pagar por cada tipo de vivienda.</w:t>
      </w:r>
    </w:p>
    <w:p w14:paraId="48C1424C"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Como resultado del análisis de precios unitarios realizado, el cual se adjunta, llegamos al costo que debe aplicar y tomamos en cuenta tanto la dotación por tipo de vivienda como el hacinamiento generado por el censo de población 2020 realizado por el INEGI y llegamos a los precios por tipo de vivienda que se proponen en el documento del proyecto.</w:t>
      </w:r>
    </w:p>
    <w:p w14:paraId="3919289D"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De la ley vigente de la fracción b) se elimina el texto que hace referencia al cobro de títulos de explotación porque la componente de títulos va incluida en el costo del litro por segundo sobre la cual se fijaron los precios por tipo de vivienda.</w:t>
      </w:r>
    </w:p>
    <w:p w14:paraId="29A35C93" w14:textId="1537EFB2" w:rsidR="00CA52D8" w:rsidRDefault="00CA52D8" w:rsidP="00CA52D8">
      <w:pPr>
        <w:tabs>
          <w:tab w:val="left" w:leader="underscore" w:pos="9639"/>
        </w:tabs>
        <w:spacing w:after="0" w:line="240" w:lineRule="auto"/>
        <w:jc w:val="both"/>
        <w:rPr>
          <w:rFonts w:cs="Calibri"/>
        </w:rPr>
      </w:pPr>
      <w:r w:rsidRPr="00CA52D8">
        <w:rPr>
          <w:rFonts w:cs="Calibri"/>
        </w:rPr>
        <w:t>Se adiciona el inciso h) para que se bonifique el cobro por derechos de tratamiento cuando el fraccionador entregue la planta que cubra suficientemente la depuración de sus aguas residuales.</w:t>
      </w:r>
    </w:p>
    <w:p w14:paraId="3251FAD4"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En la fracción XIII de Servicios operativos y administrativos para desarrollos inmobiliarios de todos los giros se proponen incrementos del 4%.</w:t>
      </w:r>
    </w:p>
    <w:p w14:paraId="248A787A"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Para el cobro por derechos de Incorporaciones no habitacionales de la fracción XIV se modifican los importes del litro por segundo de agua potable, drenaje y tratamiento y se presentan por separado los análisis de precios unitarios correspondientes. Los importes corresponden a los costos marginales en los términos que establece el artículo 333 del Código Territorial.</w:t>
      </w:r>
    </w:p>
    <w:p w14:paraId="07514D7C"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lastRenderedPageBreak/>
        <w:t>En esa misma fracción se elimina el inciso c) de la vigente porque ya no aplica ese cobro bajo esta mecánica y se adiciona en su lugar el costo del litro por segundo de tratamiento respaldado por el análisis de precios unitarios correspondiente.</w:t>
      </w:r>
    </w:p>
    <w:p w14:paraId="5243FEB2"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Las fracciones para incorporación individual, venta de agua tratada y descarga de contaminantes de las fracciones XI, XVI y XVII respectivamente, se incrementan un 4% y mantienen su estructura y mecánica de cobro.</w:t>
      </w:r>
    </w:p>
    <w:p w14:paraId="22FA7A85" w14:textId="77777777" w:rsidR="00CA52D8" w:rsidRPr="00CA52D8" w:rsidRDefault="00CA52D8" w:rsidP="00CA52D8">
      <w:pPr>
        <w:tabs>
          <w:tab w:val="left" w:leader="underscore" w:pos="9639"/>
        </w:tabs>
        <w:spacing w:after="0" w:line="240" w:lineRule="auto"/>
        <w:jc w:val="both"/>
        <w:rPr>
          <w:rFonts w:cs="Calibri"/>
        </w:rPr>
      </w:pPr>
      <w:r w:rsidRPr="00CA52D8">
        <w:rPr>
          <w:rFonts w:cs="Calibri"/>
        </w:rPr>
        <w:t xml:space="preserve">En el Artículo 42 relativo a facilidades administrativas se mantienen los beneficios contenidos en la Ley vigente. </w:t>
      </w:r>
    </w:p>
    <w:p w14:paraId="7E3B0060" w14:textId="77777777" w:rsidR="00CA52D8" w:rsidRPr="00CA52D8" w:rsidRDefault="00CA52D8" w:rsidP="00CA52D8">
      <w:pPr>
        <w:tabs>
          <w:tab w:val="left" w:leader="underscore" w:pos="9639"/>
        </w:tabs>
        <w:spacing w:after="0" w:line="240" w:lineRule="auto"/>
        <w:jc w:val="both"/>
        <w:rPr>
          <w:rFonts w:cs="Calibri"/>
        </w:rPr>
      </w:pPr>
    </w:p>
    <w:p w14:paraId="0F29F0D1" w14:textId="388A6EB1" w:rsidR="00CA52D8" w:rsidRDefault="00CA52D8" w:rsidP="00CA52D8">
      <w:pPr>
        <w:tabs>
          <w:tab w:val="left" w:leader="underscore" w:pos="9639"/>
        </w:tabs>
        <w:spacing w:after="0" w:line="240" w:lineRule="auto"/>
        <w:jc w:val="both"/>
        <w:rPr>
          <w:rFonts w:cs="Calibri"/>
        </w:rPr>
      </w:pPr>
      <w:r w:rsidRPr="00CA52D8">
        <w:rPr>
          <w:rFonts w:cs="Calibri"/>
        </w:rPr>
        <w:t>Por todo lo anteriormente expuesto y basados en el cálculo de precios, es que ponemos a consideración del H. Ayuntamiento, nuestra propuesta para el ejercicio fiscal 2024, dando cumplimiento a las disposiciones normativas que inciden, respetando, como todos los años, el principio de autoridad que debe prevalecer para que puedan hacer su trabajo de análisis y autorización correspondiente.</w:t>
      </w:r>
    </w:p>
    <w:p w14:paraId="7E2CB7AC" w14:textId="77777777" w:rsidR="00CA52D8" w:rsidRDefault="00CA52D8" w:rsidP="00B30FC3">
      <w:pPr>
        <w:tabs>
          <w:tab w:val="left" w:leader="underscore" w:pos="9639"/>
        </w:tabs>
        <w:spacing w:after="0" w:line="240" w:lineRule="auto"/>
        <w:jc w:val="both"/>
        <w:rPr>
          <w:rFonts w:cs="Calibri"/>
        </w:rPr>
      </w:pPr>
    </w:p>
    <w:p w14:paraId="4174553D" w14:textId="77777777" w:rsidR="00B30FC3" w:rsidRPr="00E74967" w:rsidRDefault="00B30FC3" w:rsidP="00B30FC3">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FDE3CD9" w14:textId="77777777" w:rsidR="00CA52D8" w:rsidRPr="00E74967" w:rsidRDefault="00CA52D8" w:rsidP="00CA52D8">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9571A2" w14:textId="0835271A" w:rsidR="00CA52D8" w:rsidRPr="00E74967" w:rsidRDefault="00CA52D8" w:rsidP="00CA52D8">
      <w:pPr>
        <w:spacing w:after="0" w:line="240" w:lineRule="auto"/>
        <w:jc w:val="both"/>
        <w:rPr>
          <w:rFonts w:cs="Calibri"/>
        </w:rPr>
      </w:pPr>
      <w:r>
        <w:rPr>
          <w:rFonts w:cs="Calibri"/>
        </w:rPr>
        <w:t>Captación, tratamiento y suministro de agua para uso doméstico.</w:t>
      </w:r>
    </w:p>
    <w:p w14:paraId="15F90EEC" w14:textId="7B9F47E1"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2E2BB378" w14:textId="1879AA9B" w:rsidR="00CA52D8" w:rsidRDefault="00CA52D8" w:rsidP="00CA52D8">
      <w:pPr>
        <w:spacing w:after="0" w:line="240" w:lineRule="auto"/>
        <w:jc w:val="both"/>
        <w:rPr>
          <w:rFonts w:cs="Calibri"/>
        </w:rPr>
      </w:pPr>
      <w:r>
        <w:rPr>
          <w:rFonts w:cs="Calibri"/>
        </w:rPr>
        <w:t>Del 01 de enero al 31 de diciembre de 202</w:t>
      </w:r>
      <w:r>
        <w:rPr>
          <w:rFonts w:cs="Calibri"/>
        </w:rPr>
        <w:t>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B439125" w14:textId="77777777" w:rsidR="00CA52D8" w:rsidRPr="00E74967" w:rsidRDefault="00CA52D8" w:rsidP="00CA52D8">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7E6F2A0"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41F6926E"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2B5C698B"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1349BC56"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0ECAE39F"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188AFCF7"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27175E08"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467F2BA1"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17B98759" w14:textId="77777777" w:rsidR="00994E47" w:rsidRPr="00FE133B" w:rsidRDefault="00994E47" w:rsidP="00994E4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438A1C3A" w14:textId="77777777" w:rsidR="00994E47" w:rsidRDefault="00994E47" w:rsidP="00994E4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2469AE12" w14:textId="77777777" w:rsidR="00994E47" w:rsidRPr="00FB4C27" w:rsidRDefault="00994E47" w:rsidP="00994E47">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1A0A78D1" w:rsidR="007D1E76" w:rsidRDefault="00994E47" w:rsidP="00CB41C4">
      <w:pPr>
        <w:tabs>
          <w:tab w:val="left" w:leader="underscore" w:pos="9639"/>
        </w:tabs>
        <w:spacing w:after="0" w:line="240" w:lineRule="auto"/>
        <w:jc w:val="both"/>
        <w:rPr>
          <w:rFonts w:cs="Calibri"/>
        </w:rPr>
      </w:pPr>
      <w:r>
        <w:rPr>
          <w:noProof/>
        </w:rPr>
        <w:drawing>
          <wp:inline distT="0" distB="0" distL="0" distR="0" wp14:anchorId="1EC9BC59" wp14:editId="1B1DB42F">
            <wp:extent cx="6151880" cy="3860165"/>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860165"/>
                    </a:xfrm>
                    <a:prstGeom prst="rect">
                      <a:avLst/>
                    </a:prstGeom>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26B1F581" w:rsidR="007D1E76" w:rsidRPr="00E74967" w:rsidRDefault="00994E47" w:rsidP="00CB41C4">
      <w:pPr>
        <w:tabs>
          <w:tab w:val="left" w:leader="underscore" w:pos="9639"/>
        </w:tabs>
        <w:spacing w:after="0" w:line="240" w:lineRule="auto"/>
        <w:jc w:val="both"/>
        <w:rPr>
          <w:rFonts w:cs="Calibri"/>
        </w:rPr>
      </w:pPr>
      <w:r>
        <w:rPr>
          <w:rFonts w:cs="Calibri"/>
        </w:rPr>
        <w:t>Sin fideicomisos que manifestar durante el período.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4FB929E6" w:rsidR="007D1E76" w:rsidRPr="00E74967" w:rsidRDefault="00994E47" w:rsidP="00CB41C4">
      <w:pPr>
        <w:tabs>
          <w:tab w:val="left" w:leader="underscore" w:pos="9639"/>
        </w:tabs>
        <w:spacing w:after="0" w:line="240" w:lineRule="auto"/>
        <w:jc w:val="both"/>
        <w:rPr>
          <w:rFonts w:cs="Calibri"/>
        </w:rPr>
      </w:pPr>
      <w:r>
        <w:rPr>
          <w:rFonts w:cs="Calibri"/>
        </w:rPr>
        <w:t>Sí</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C5966A" w14:textId="36282152" w:rsidR="00994E47" w:rsidRPr="00E74967" w:rsidRDefault="00994E47" w:rsidP="00994E47">
      <w:pPr>
        <w:tabs>
          <w:tab w:val="left" w:leader="underscore" w:pos="9639"/>
        </w:tabs>
        <w:spacing w:after="0" w:line="240" w:lineRule="auto"/>
        <w:jc w:val="both"/>
        <w:rPr>
          <w:rFonts w:cs="Calibri"/>
        </w:rPr>
      </w:pPr>
      <w:r>
        <w:rPr>
          <w:rFonts w:cs="Calibri"/>
        </w:rPr>
        <w:t>Costo histórico.</w:t>
      </w:r>
    </w:p>
    <w:p w14:paraId="2DCF252C" w14:textId="59ED9DA5"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5009A319" w14:textId="4856439D" w:rsidR="007D1E76" w:rsidRPr="00E74967" w:rsidRDefault="00994E47" w:rsidP="00CB41C4">
      <w:pPr>
        <w:tabs>
          <w:tab w:val="left" w:leader="underscore" w:pos="9639"/>
        </w:tabs>
        <w:spacing w:after="0" w:line="240" w:lineRule="auto"/>
        <w:jc w:val="both"/>
        <w:rPr>
          <w:rFonts w:cs="Calibri"/>
        </w:rPr>
      </w:pPr>
      <w:r>
        <w:rPr>
          <w:rFonts w:cs="Calibri"/>
        </w:rPr>
        <w:t>Sí</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384678DD" w14:textId="59828550" w:rsidR="007D1E76" w:rsidRPr="00E74967" w:rsidRDefault="00994E47"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1B5178A" w:rsidR="007D1E76" w:rsidRPr="00E74967" w:rsidRDefault="00994E47"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0828F716" w:rsidR="007D1E76" w:rsidRPr="00E74967" w:rsidRDefault="00994E47"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460CF60E" w:rsidR="007D1E76" w:rsidRPr="00E74967" w:rsidRDefault="00994E47" w:rsidP="00CB41C4">
      <w:pPr>
        <w:tabs>
          <w:tab w:val="left" w:leader="underscore" w:pos="9639"/>
        </w:tabs>
        <w:spacing w:after="0" w:line="240" w:lineRule="auto"/>
        <w:jc w:val="both"/>
        <w:rPr>
          <w:rFonts w:cs="Calibri"/>
        </w:rPr>
      </w:pPr>
      <w:r>
        <w:rPr>
          <w:rFonts w:cs="Calibri"/>
        </w:rPr>
        <w:t>No aplica</w:t>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6390FE4" w14:textId="4F794AC2" w:rsidR="006F0687" w:rsidRPr="00E74967" w:rsidRDefault="00994E47" w:rsidP="006F0687">
      <w:pPr>
        <w:tabs>
          <w:tab w:val="left" w:leader="underscore" w:pos="9639"/>
        </w:tabs>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C1081A4" w14:textId="4291E46F" w:rsidR="007D1E76" w:rsidRPr="00E74967" w:rsidRDefault="00994E47" w:rsidP="00CB41C4">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61C47D7" w14:textId="21D55D55" w:rsidR="007D1E76" w:rsidRPr="00E74967" w:rsidRDefault="00994E47" w:rsidP="00CB41C4">
      <w:pPr>
        <w:tabs>
          <w:tab w:val="left" w:leader="underscore" w:pos="9639"/>
        </w:tabs>
        <w:spacing w:after="0" w:line="240" w:lineRule="auto"/>
        <w:jc w:val="both"/>
        <w:rPr>
          <w:rFonts w:cs="Calibri"/>
        </w:rPr>
      </w:pPr>
      <w:r>
        <w:rPr>
          <w:rFonts w:cs="Calibri"/>
        </w:rPr>
        <w:t>N</w:t>
      </w:r>
      <w:r w:rsidR="00DF28AC">
        <w:rPr>
          <w:rFonts w:cs="Calibri"/>
        </w:rPr>
        <w:t>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1C1D647B" w14:textId="6648C5F7" w:rsidR="007D1E76" w:rsidRPr="00E74967" w:rsidRDefault="00DF28AC"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0DC7D99" w:rsidR="007D1E76" w:rsidRPr="00E74967" w:rsidRDefault="00DF28AC"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3F02A76" w:rsidR="007D1E76" w:rsidRPr="00E74967" w:rsidRDefault="00DF28AC"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8D6638E" w:rsidR="007D1E76" w:rsidRPr="00E74967" w:rsidRDefault="00DF28AC"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3D4484E" w:rsidR="007D1E76" w:rsidRPr="00E74967" w:rsidRDefault="00DF28AC"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EC3443D" w:rsidR="007D1E76" w:rsidRPr="00E74967" w:rsidRDefault="00DF28AC"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2C890F09" w:rsidR="007D1E76" w:rsidRPr="00E74967" w:rsidRDefault="00DF28AC" w:rsidP="00CB41C4">
      <w:pPr>
        <w:tabs>
          <w:tab w:val="left" w:leader="underscore" w:pos="9639"/>
        </w:tabs>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47813AA" w:rsidR="007D1E76" w:rsidRPr="00E74967" w:rsidRDefault="00DF28AC" w:rsidP="00CB41C4">
      <w:pPr>
        <w:tabs>
          <w:tab w:val="left" w:leader="underscore" w:pos="9639"/>
        </w:tabs>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6C1459E7" w:rsidR="007D1E76" w:rsidRPr="00E74967" w:rsidRDefault="00DF28AC"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44D7269" w:rsidR="007D1E76" w:rsidRPr="00E74967" w:rsidRDefault="00DF28AC"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D091468" w:rsidR="007D1E76" w:rsidRPr="00E74967" w:rsidRDefault="00DF28AC"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2166A6DF" w:rsidR="007D1E76" w:rsidRPr="00E74967" w:rsidRDefault="00DF28AC"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A2C1690" w:rsidR="007D1E76" w:rsidRPr="00E74967" w:rsidRDefault="00DF28AC"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lastRenderedPageBreak/>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4DE0FF06" w14:textId="77777777" w:rsidR="00DF28AC" w:rsidRPr="00E74967" w:rsidRDefault="00DF28AC" w:rsidP="00DF28AC">
      <w:pPr>
        <w:tabs>
          <w:tab w:val="left" w:leader="underscore" w:pos="9639"/>
        </w:tabs>
        <w:spacing w:after="0" w:line="240" w:lineRule="auto"/>
        <w:jc w:val="both"/>
        <w:rPr>
          <w:rFonts w:cs="Calibri"/>
        </w:rPr>
      </w:pPr>
      <w:r>
        <w:rPr>
          <w:rFonts w:cs="Calibri"/>
        </w:rPr>
        <w:t>Parámetros de estimación de vida útil publicados en el DOF por el CONAC.</w:t>
      </w:r>
    </w:p>
    <w:p w14:paraId="18A5CC0A" w14:textId="24E3AFEE"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7C18ACC1"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9A85668"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A07BC02"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5C4659B"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7AACB8"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F40FEA3"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B758D5A"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BCA33E"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3ACF4A94"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D6CED6D"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DD4A63"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427B7EFF"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6C3DDF9"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3274B0F" w14:textId="77777777" w:rsidR="00DF28AC" w:rsidRPr="00E74967" w:rsidRDefault="00DF28AC" w:rsidP="00DF28AC">
      <w:pPr>
        <w:tabs>
          <w:tab w:val="left" w:leader="underscore" w:pos="9639"/>
        </w:tabs>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1F459DD8" w14:textId="188703DF" w:rsidR="00DF28AC" w:rsidRDefault="007D1E76" w:rsidP="00DF28AC">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DF28AC" w:rsidRPr="00DF28AC">
        <w:rPr>
          <w:rFonts w:cs="Calibri"/>
        </w:rPr>
        <w:t xml:space="preserve"> </w:t>
      </w:r>
    </w:p>
    <w:p w14:paraId="0EAC34E4" w14:textId="77777777" w:rsidR="000C766F" w:rsidRDefault="000C766F" w:rsidP="00DF28AC">
      <w:pPr>
        <w:tabs>
          <w:tab w:val="left" w:leader="underscore" w:pos="9639"/>
        </w:tabs>
        <w:spacing w:after="0" w:line="240" w:lineRule="auto"/>
        <w:jc w:val="both"/>
        <w:rPr>
          <w:rFonts w:cs="Calibri"/>
        </w:rPr>
      </w:pPr>
    </w:p>
    <w:bookmarkStart w:id="9" w:name="_MON_1679905440"/>
    <w:bookmarkEnd w:id="9"/>
    <w:p w14:paraId="4CC51DF1" w14:textId="713CED0D" w:rsidR="00DF28AC" w:rsidRPr="00E74967" w:rsidRDefault="000C766F" w:rsidP="00DF28AC">
      <w:pPr>
        <w:tabs>
          <w:tab w:val="left" w:leader="underscore" w:pos="9639"/>
        </w:tabs>
        <w:spacing w:after="0" w:line="240" w:lineRule="auto"/>
        <w:jc w:val="both"/>
        <w:rPr>
          <w:rFonts w:cs="Calibri"/>
        </w:rPr>
      </w:pPr>
      <w:r>
        <w:rPr>
          <w:rFonts w:cs="Calibri"/>
        </w:rPr>
        <w:object w:dxaOrig="7998" w:dyaOrig="1472" w14:anchorId="46F0C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99.75pt;height:73.5pt" o:ole="">
            <v:imagedata r:id="rId13" o:title=""/>
          </v:shape>
          <o:OLEObject Type="Embed" ProgID="Excel.Sheet.12" ShapeID="_x0000_i1047" DrawAspect="Content" ObjectID="_1775372889" r:id="rId14"/>
        </w:object>
      </w:r>
    </w:p>
    <w:p w14:paraId="411A826A" w14:textId="77777777" w:rsidR="00DF28AC" w:rsidRPr="00E74967" w:rsidRDefault="00DF28AC" w:rsidP="00DF28AC">
      <w:pPr>
        <w:tabs>
          <w:tab w:val="left" w:leader="underscore" w:pos="9639"/>
        </w:tabs>
        <w:spacing w:after="0" w:line="240" w:lineRule="auto"/>
        <w:jc w:val="both"/>
        <w:rPr>
          <w:rFonts w:cs="Calibri"/>
        </w:rPr>
      </w:pPr>
    </w:p>
    <w:p w14:paraId="07029157" w14:textId="1502A0F3" w:rsidR="00DF28AC" w:rsidRDefault="007D1E76" w:rsidP="00DF28AC">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r w:rsidR="00DF28AC" w:rsidRPr="00DF28AC">
        <w:rPr>
          <w:rFonts w:cs="Calibri"/>
        </w:rPr>
        <w:t xml:space="preserve"> </w:t>
      </w:r>
    </w:p>
    <w:p w14:paraId="20E551FC" w14:textId="77777777" w:rsidR="000C766F" w:rsidRDefault="000C766F" w:rsidP="00DF28AC">
      <w:pPr>
        <w:tabs>
          <w:tab w:val="left" w:leader="underscore" w:pos="9639"/>
        </w:tabs>
        <w:spacing w:after="0" w:line="240" w:lineRule="auto"/>
        <w:jc w:val="both"/>
        <w:rPr>
          <w:rFonts w:cs="Calibri"/>
        </w:rPr>
      </w:pPr>
    </w:p>
    <w:bookmarkStart w:id="10" w:name="_MON_1679905944"/>
    <w:bookmarkEnd w:id="10"/>
    <w:p w14:paraId="088E5E52" w14:textId="59D85C83" w:rsidR="00DF28AC" w:rsidRPr="00E74967" w:rsidRDefault="000C766F" w:rsidP="00DF28AC">
      <w:pPr>
        <w:tabs>
          <w:tab w:val="left" w:leader="underscore" w:pos="9639"/>
        </w:tabs>
        <w:spacing w:after="0" w:line="240" w:lineRule="auto"/>
        <w:jc w:val="both"/>
        <w:rPr>
          <w:rFonts w:cs="Calibri"/>
        </w:rPr>
      </w:pPr>
      <w:r>
        <w:rPr>
          <w:rFonts w:cs="Calibri"/>
        </w:rPr>
        <w:object w:dxaOrig="7998" w:dyaOrig="1472" w14:anchorId="4D5312BC">
          <v:shape id="_x0000_i1034" type="#_x0000_t75" style="width:399.75pt;height:73.5pt" o:ole="">
            <v:imagedata r:id="rId15" o:title=""/>
          </v:shape>
          <o:OLEObject Type="Embed" ProgID="Excel.Sheet.12" ShapeID="_x0000_i1034" DrawAspect="Content" ObjectID="_1775372890" r:id="rId16"/>
        </w:object>
      </w:r>
    </w:p>
    <w:p w14:paraId="58C52D9B" w14:textId="77777777" w:rsidR="00DF28AC" w:rsidRPr="00E74967" w:rsidRDefault="00DF28AC" w:rsidP="00DF28AC">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1"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2" w:name="_Toc161472876"/>
      <w:r w:rsidRPr="000C3365">
        <w:rPr>
          <w:rFonts w:asciiTheme="minorHAnsi" w:hAnsiTheme="minorHAnsi" w:cstheme="minorHAnsi"/>
          <w:b/>
          <w:color w:val="auto"/>
          <w:sz w:val="22"/>
        </w:rPr>
        <w:lastRenderedPageBreak/>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E62F8DF" w:rsidR="007D1E76" w:rsidRPr="00E74967" w:rsidRDefault="00017F5B" w:rsidP="00CB41C4">
      <w:pPr>
        <w:tabs>
          <w:tab w:val="left" w:leader="underscore" w:pos="9639"/>
        </w:tabs>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3"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D2BD103" w14:textId="77777777" w:rsidR="00017F5B" w:rsidRPr="00E74967" w:rsidRDefault="00017F5B" w:rsidP="00017F5B">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C599F15" w14:textId="77777777" w:rsidR="00017F5B" w:rsidRPr="00E74967" w:rsidRDefault="00017F5B" w:rsidP="00017F5B">
      <w:pPr>
        <w:tabs>
          <w:tab w:val="left" w:leader="underscore" w:pos="9639"/>
        </w:tabs>
        <w:spacing w:after="0" w:line="240" w:lineRule="auto"/>
        <w:jc w:val="both"/>
        <w:rPr>
          <w:rFonts w:cs="Calibri"/>
        </w:rPr>
      </w:pPr>
      <w:r>
        <w:rPr>
          <w:rFonts w:cs="Calibri"/>
        </w:rPr>
        <w:t>Ahorro en las partidas del presupuesto.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4"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5"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6268D065" w14:textId="1FF06B98"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6"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39DD097" w:rsidR="007D1E76" w:rsidRPr="00E74967" w:rsidRDefault="00017F5B" w:rsidP="00CB41C4">
      <w:pPr>
        <w:tabs>
          <w:tab w:val="left" w:leader="underscore" w:pos="9639"/>
        </w:tabs>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7" w:name="_Toc161472881"/>
      <w:r w:rsidRPr="00F46719">
        <w:rPr>
          <w:rFonts w:asciiTheme="minorHAnsi" w:hAnsiTheme="minorHAnsi" w:cstheme="minorHAnsi"/>
          <w:b/>
          <w:color w:val="auto"/>
          <w:sz w:val="22"/>
        </w:rPr>
        <w:lastRenderedPageBreak/>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6DC05DAB" w:rsidR="00D5018E" w:rsidRDefault="00D5018E" w:rsidP="00D5018E">
      <w:pPr>
        <w:pBdr>
          <w:bottom w:val="single" w:sz="12" w:space="1" w:color="auto"/>
        </w:pBdr>
        <w:tabs>
          <w:tab w:val="left" w:leader="underscore" w:pos="9639"/>
        </w:tabs>
        <w:spacing w:after="0" w:line="240" w:lineRule="auto"/>
        <w:jc w:val="both"/>
        <w:rPr>
          <w:rFonts w:cs="Calibri"/>
        </w:rPr>
      </w:pPr>
    </w:p>
    <w:p w14:paraId="07D666EE" w14:textId="47376B0A" w:rsidR="00F07C43" w:rsidRDefault="00F07C43" w:rsidP="00D5018E">
      <w:pPr>
        <w:pBdr>
          <w:bottom w:val="single" w:sz="12" w:space="1" w:color="auto"/>
        </w:pBdr>
        <w:tabs>
          <w:tab w:val="left" w:leader="underscore" w:pos="9639"/>
        </w:tabs>
        <w:spacing w:after="0" w:line="240" w:lineRule="auto"/>
        <w:jc w:val="both"/>
        <w:rPr>
          <w:rFonts w:cs="Calibri"/>
        </w:rPr>
      </w:pPr>
      <w:bookmarkStart w:id="18" w:name="_GoBack"/>
      <w:bookmarkEnd w:id="18"/>
    </w:p>
    <w:sectPr w:rsidR="00F07C43"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2300" w14:textId="77777777" w:rsidR="00A62F0E" w:rsidRDefault="00A62F0E" w:rsidP="00E00323">
      <w:pPr>
        <w:spacing w:after="0" w:line="240" w:lineRule="auto"/>
      </w:pPr>
      <w:r>
        <w:separator/>
      </w:r>
    </w:p>
  </w:endnote>
  <w:endnote w:type="continuationSeparator" w:id="0">
    <w:p w14:paraId="26C0875C" w14:textId="77777777" w:rsidR="00A62F0E" w:rsidRDefault="00A62F0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D60C9" w14:textId="77777777" w:rsidR="00A62F0E" w:rsidRDefault="00A62F0E" w:rsidP="00E00323">
      <w:pPr>
        <w:spacing w:after="0" w:line="240" w:lineRule="auto"/>
      </w:pPr>
      <w:r>
        <w:separator/>
      </w:r>
    </w:p>
  </w:footnote>
  <w:footnote w:type="continuationSeparator" w:id="0">
    <w:p w14:paraId="7DEB3459" w14:textId="77777777" w:rsidR="00A62F0E" w:rsidRDefault="00A62F0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763A7BAB" w:rsidR="00154BA3" w:rsidRDefault="005337A9" w:rsidP="00A4610E">
    <w:pPr>
      <w:pStyle w:val="Encabezado"/>
      <w:spacing w:after="0" w:line="240" w:lineRule="auto"/>
      <w:jc w:val="center"/>
    </w:pPr>
    <w:r>
      <w:t>Sistema Municipal de Agua Potable y Alcantarillado de Moroleón</w:t>
    </w:r>
  </w:p>
  <w:p w14:paraId="651A4C4F" w14:textId="50C61BF1" w:rsidR="00A4610E" w:rsidRDefault="00A4610E" w:rsidP="00A4610E">
    <w:pPr>
      <w:pStyle w:val="Encabezado"/>
      <w:spacing w:after="0" w:line="240" w:lineRule="auto"/>
      <w:jc w:val="center"/>
    </w:pPr>
    <w:r w:rsidRPr="00A4610E">
      <w:t>CORRESPONDI</w:t>
    </w:r>
    <w:r w:rsidR="00DD018C">
      <w:t>E</w:t>
    </w:r>
    <w:r w:rsidRPr="00A4610E">
      <w:t xml:space="preserve">NTES AL </w:t>
    </w:r>
    <w:r w:rsidR="005337A9">
      <w:t>31 DE MARZO</w:t>
    </w:r>
    <w:r w:rsidR="00EE1E17">
      <w:t xml:space="preserve">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7F5B"/>
    <w:rsid w:val="000310EF"/>
    <w:rsid w:val="00040D4F"/>
    <w:rsid w:val="00084EAE"/>
    <w:rsid w:val="00091CE6"/>
    <w:rsid w:val="000B7810"/>
    <w:rsid w:val="000C3365"/>
    <w:rsid w:val="000C766F"/>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96D53"/>
    <w:rsid w:val="003E6C64"/>
    <w:rsid w:val="0043078C"/>
    <w:rsid w:val="00435A87"/>
    <w:rsid w:val="004A1077"/>
    <w:rsid w:val="004A58C8"/>
    <w:rsid w:val="004F234D"/>
    <w:rsid w:val="004F6FAC"/>
    <w:rsid w:val="005053EE"/>
    <w:rsid w:val="00516100"/>
    <w:rsid w:val="00516A8F"/>
    <w:rsid w:val="005337A9"/>
    <w:rsid w:val="00540261"/>
    <w:rsid w:val="0054701E"/>
    <w:rsid w:val="005B5531"/>
    <w:rsid w:val="005D3E43"/>
    <w:rsid w:val="005E231E"/>
    <w:rsid w:val="005F2900"/>
    <w:rsid w:val="005F51CC"/>
    <w:rsid w:val="0064059E"/>
    <w:rsid w:val="00657009"/>
    <w:rsid w:val="00681C79"/>
    <w:rsid w:val="00684909"/>
    <w:rsid w:val="006B1ADF"/>
    <w:rsid w:val="006F0687"/>
    <w:rsid w:val="006F77A8"/>
    <w:rsid w:val="007610BC"/>
    <w:rsid w:val="007714AB"/>
    <w:rsid w:val="007D1E76"/>
    <w:rsid w:val="007D4484"/>
    <w:rsid w:val="007E38A2"/>
    <w:rsid w:val="007F699D"/>
    <w:rsid w:val="00806269"/>
    <w:rsid w:val="0086420E"/>
    <w:rsid w:val="0086459F"/>
    <w:rsid w:val="008C3BB8"/>
    <w:rsid w:val="008D4E72"/>
    <w:rsid w:val="008E076C"/>
    <w:rsid w:val="0092765C"/>
    <w:rsid w:val="00967DDA"/>
    <w:rsid w:val="009736CB"/>
    <w:rsid w:val="00994E47"/>
    <w:rsid w:val="00A4610E"/>
    <w:rsid w:val="00A62F0E"/>
    <w:rsid w:val="00A6346D"/>
    <w:rsid w:val="00A730E0"/>
    <w:rsid w:val="00AA2768"/>
    <w:rsid w:val="00AA41E5"/>
    <w:rsid w:val="00AB722B"/>
    <w:rsid w:val="00AE1F6A"/>
    <w:rsid w:val="00AF4375"/>
    <w:rsid w:val="00B073DE"/>
    <w:rsid w:val="00B30FC3"/>
    <w:rsid w:val="00B6368B"/>
    <w:rsid w:val="00BA53FE"/>
    <w:rsid w:val="00BE02EB"/>
    <w:rsid w:val="00C4250B"/>
    <w:rsid w:val="00C4625D"/>
    <w:rsid w:val="00C54C12"/>
    <w:rsid w:val="00C93C67"/>
    <w:rsid w:val="00C97E1E"/>
    <w:rsid w:val="00CA52D8"/>
    <w:rsid w:val="00CB41C4"/>
    <w:rsid w:val="00CF1316"/>
    <w:rsid w:val="00D13C44"/>
    <w:rsid w:val="00D32331"/>
    <w:rsid w:val="00D40FC2"/>
    <w:rsid w:val="00D5018E"/>
    <w:rsid w:val="00D546B2"/>
    <w:rsid w:val="00D975B1"/>
    <w:rsid w:val="00DD018C"/>
    <w:rsid w:val="00DF28AC"/>
    <w:rsid w:val="00E00323"/>
    <w:rsid w:val="00E11758"/>
    <w:rsid w:val="00E74967"/>
    <w:rsid w:val="00E7559F"/>
    <w:rsid w:val="00E85520"/>
    <w:rsid w:val="00E9132F"/>
    <w:rsid w:val="00EA37F5"/>
    <w:rsid w:val="00EA7915"/>
    <w:rsid w:val="00ED7AA0"/>
    <w:rsid w:val="00EE02E8"/>
    <w:rsid w:val="00EE1E17"/>
    <w:rsid w:val="00F067C8"/>
    <w:rsid w:val="00F07C43"/>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75139-05BB-417E-B4EE-590E21A8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3899</Words>
  <Characters>21449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Server</cp:lastModifiedBy>
  <cp:revision>73</cp:revision>
  <dcterms:created xsi:type="dcterms:W3CDTF">2017-01-12T05:27:00Z</dcterms:created>
  <dcterms:modified xsi:type="dcterms:W3CDTF">2024-04-23T16:22:00Z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